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ATHRA</w:t>
      </w:r>
      <w:r>
        <w:t xml:space="preserve"> </w:t>
      </w:r>
      <w:r>
        <w:t xml:space="preserve">ведёт авторитетные записи индивидуальных авторов.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 открываются через полевой редактор и могут использоваться при нормализации библиографических записей.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DBATHRA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индивидуальных авторов.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поиска, используемый для подбора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GetNewAthra</w:t>
            </w:r>
          </w:p>
        </w:tc>
        <w:tc>
          <w:tcPr/>
          <w:p>
            <w:pPr>
              <w:pStyle w:val="Compact"/>
            </w:pPr>
            <w:r>
              <w:t xml:space="preserve">Действие для создания или подбора новой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Краткое, полное и специализированное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используются как контролируемый источник имён персональных авторов и связанных вариантов заголовка.</w:t>
      </w:r>
    </w:p>
    <w:p>
      <w:pPr>
        <w:pStyle w:val="BodyText"/>
      </w:pPr>
      <w:r>
        <w:t xml:space="preserve">См. также:</w:t>
      </w:r>
      <w:r>
        <w:t xml:space="preserve"> </w:t>
      </w:r>
      <w:hyperlink r:id="rId9">
        <w:r>
          <w:rPr>
            <w:rStyle w:val="Hyperlink"/>
          </w:rPr>
          <w:t xml:space="preserve">признак иностранного агента в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ATHRA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THRA/Help/ForeignAgen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THRA/Help/ForeignAgen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2026-09-15T14:00:32Z</dcterms:created>
  <dcterms:modified xsi:type="dcterms:W3CDTF">2026-09-15T14:00:32Z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